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73" w:rsidRDefault="0038059D">
      <w:bookmarkStart w:id="0" w:name="_GoBack"/>
      <w:bookmarkEnd w:id="0"/>
      <w:r w:rsidRPr="00303E6B">
        <w:rPr>
          <w:rFonts w:ascii="Times New Roman" w:eastAsia="Times New Roman" w:hAnsi="Times New Roman" w:cs="Times New Roman"/>
          <w:b/>
          <w:noProof/>
          <w:color w:val="000000"/>
          <w:w w:val="0"/>
          <w:sz w:val="24"/>
          <w:szCs w:val="24"/>
        </w:rPr>
        <w:drawing>
          <wp:inline distT="0" distB="0" distL="0" distR="0" wp14:anchorId="50937202" wp14:editId="43898DA5">
            <wp:extent cx="5943600" cy="3289621"/>
            <wp:effectExtent l="0" t="0" r="0" b="6350"/>
            <wp:docPr id="18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8059D" w:rsidRPr="003F51FF" w:rsidRDefault="0038059D" w:rsidP="003805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color w:val="000000"/>
          <w:w w:val="0"/>
          <w:sz w:val="20"/>
          <w:szCs w:val="20"/>
          <w:lang w:bidi="en-US"/>
        </w:rPr>
        <w:t>Figure 9</w:t>
      </w:r>
      <w:r w:rsidRPr="00303E6B">
        <w:rPr>
          <w:rFonts w:ascii="Times New Roman" w:eastAsia="Times New Roman" w:hAnsi="Times New Roman" w:cs="Times New Roman"/>
          <w:i/>
          <w:color w:val="000000"/>
          <w:w w:val="0"/>
          <w:sz w:val="20"/>
          <w:szCs w:val="20"/>
          <w:lang w:bidi="en-US"/>
        </w:rPr>
        <w:t>.</w:t>
      </w:r>
      <w:r w:rsidRPr="00303E6B">
        <w:rPr>
          <w:rFonts w:ascii="Times New Roman" w:eastAsia="Times New Roman" w:hAnsi="Times New Roman" w:cs="Times New Roman"/>
          <w:color w:val="000000"/>
          <w:w w:val="0"/>
          <w:sz w:val="20"/>
          <w:szCs w:val="20"/>
          <w:lang w:bidi="en-US"/>
        </w:rPr>
        <w:t xml:space="preserve"> Average flows of twelve major surface water sources that discharge into Lake Enriquillo.</w:t>
      </w:r>
    </w:p>
    <w:p w:rsidR="0038059D" w:rsidRDefault="0038059D"/>
    <w:sectPr w:rsidR="00380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9D"/>
    <w:rsid w:val="0038059D"/>
    <w:rsid w:val="00A022B7"/>
    <w:rsid w:val="00BB2073"/>
    <w:rsid w:val="00C5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CE294-A156-4481-A932-1D431046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125704400035599E-2"/>
          <c:y val="0.16904009993403199"/>
          <c:w val="0.88007960333581703"/>
          <c:h val="0.4749908774424940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6AA4-4219-AA70-4AF4A56217B1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 w="25400" cap="flat" cmpd="sng" algn="ctr">
                <a:solidFill>
                  <a:srgbClr val="FF0000"/>
                </a:solidFill>
                <a:prstDash val="solid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500-454C-BC00-C69AEE909572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 w="25400" cap="flat" cmpd="sng" algn="ctr">
                <a:solidFill>
                  <a:srgbClr val="00B050"/>
                </a:solidFill>
                <a:prstDash val="solid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500-454C-BC00-C69AEE909572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 w="25400" cap="flat" cmpd="sng" algn="ctr">
                <a:solidFill>
                  <a:schemeClr val="accent4">
                    <a:shade val="50000"/>
                  </a:schemeClr>
                </a:solidFill>
                <a:prstDash val="solid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500-454C-BC00-C69AEE909572}"/>
              </c:ext>
            </c:extLst>
          </c:dPt>
          <c:dPt>
            <c:idx val="4"/>
            <c:invertIfNegative val="0"/>
            <c:bubble3D val="0"/>
            <c:spPr>
              <a:solidFill>
                <a:srgbClr val="002060"/>
              </a:solidFill>
              <a:ln w="25400" cap="flat" cmpd="sng" algn="ctr">
                <a:solidFill>
                  <a:srgbClr val="002060"/>
                </a:solidFill>
                <a:prstDash val="solid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500-454C-BC00-C69AEE909572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 w="25400" cap="flat" cmpd="sng" algn="ctr">
                <a:solidFill>
                  <a:srgbClr val="FFC000"/>
                </a:solidFill>
                <a:prstDash val="solid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500-454C-BC00-C69AEE909572}"/>
              </c:ext>
            </c:extLst>
          </c:dPt>
          <c:dPt>
            <c:idx val="6"/>
            <c:invertIfNegative val="0"/>
            <c:bubble3D val="0"/>
            <c:spPr>
              <a:solidFill>
                <a:srgbClr val="0070C0"/>
              </a:solidFill>
              <a:ln w="9525" cap="flat" cmpd="sng" algn="ctr">
                <a:solidFill>
                  <a:srgbClr val="0070C0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500-454C-BC00-C69AEE909572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500-454C-BC00-C69AEE909572}"/>
              </c:ext>
            </c:extLst>
          </c:dPt>
          <c:dPt>
            <c:idx val="8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500-454C-BC00-C69AEE909572}"/>
              </c:ext>
            </c:extLst>
          </c:dPt>
          <c:dPt>
            <c:idx val="9"/>
            <c:invertIfNegative val="0"/>
            <c:bubble3D val="0"/>
            <c:spPr>
              <a:solidFill>
                <a:sysClr val="windowText" lastClr="000000"/>
              </a:solidFill>
              <a:ln w="9525" cap="flat" cmpd="sng" algn="ctr">
                <a:solidFill>
                  <a:sysClr val="windowText" lastClr="000000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5500-454C-BC00-C69AEE909572}"/>
              </c:ext>
            </c:extLst>
          </c:dPt>
          <c:dPt>
            <c:idx val="10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rgbClr val="FF0000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5500-454C-BC00-C69AEE909572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Hoja1!$A$6:$A$16</c:f>
              <c:strCache>
                <c:ptCount val="11"/>
                <c:pt idx="0">
                  <c:v>Las Marías</c:v>
                </c:pt>
                <c:pt idx="1">
                  <c:v>Cristóbal</c:v>
                </c:pt>
                <c:pt idx="2">
                  <c:v>La Furnia</c:v>
                </c:pt>
                <c:pt idx="3">
                  <c:v>Río Guayabal</c:v>
                </c:pt>
                <c:pt idx="4">
                  <c:v>Río Amada</c:v>
                </c:pt>
                <c:pt idx="5">
                  <c:v>La Cuesta</c:v>
                </c:pt>
                <c:pt idx="6">
                  <c:v>La Habitación</c:v>
                </c:pt>
                <c:pt idx="7">
                  <c:v>La Descubierta</c:v>
                </c:pt>
                <c:pt idx="8">
                  <c:v>Boca de Cachón</c:v>
                </c:pt>
                <c:pt idx="9">
                  <c:v>Laguna Limón</c:v>
                </c:pt>
                <c:pt idx="10">
                  <c:v>La Zurza </c:v>
                </c:pt>
              </c:strCache>
            </c:strRef>
          </c:cat>
          <c:val>
            <c:numRef>
              <c:f>Hoja1!$B$6:$B$16</c:f>
              <c:numCache>
                <c:formatCode>0.0000</c:formatCode>
                <c:ptCount val="11"/>
                <c:pt idx="0">
                  <c:v>0.17025000000000001</c:v>
                </c:pt>
                <c:pt idx="1">
                  <c:v>1.7057999999999669</c:v>
                </c:pt>
                <c:pt idx="2">
                  <c:v>0.14580000000000001</c:v>
                </c:pt>
                <c:pt idx="3">
                  <c:v>0.28720000000000001</c:v>
                </c:pt>
                <c:pt idx="4">
                  <c:v>0.27239999999999998</c:v>
                </c:pt>
                <c:pt idx="5">
                  <c:v>0.229333333333333</c:v>
                </c:pt>
                <c:pt idx="6">
                  <c:v>0.15920000000000301</c:v>
                </c:pt>
                <c:pt idx="7">
                  <c:v>0.90100000000000002</c:v>
                </c:pt>
                <c:pt idx="8">
                  <c:v>0.62320000000000098</c:v>
                </c:pt>
                <c:pt idx="9">
                  <c:v>0.33840000000000697</c:v>
                </c:pt>
                <c:pt idx="10">
                  <c:v>0.20910000000000001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5500-454C-BC00-C69AEE909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545069304"/>
        <c:axId val="545069696"/>
      </c:barChart>
      <c:catAx>
        <c:axId val="5450693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545069696"/>
        <c:crosses val="autoZero"/>
        <c:auto val="0"/>
        <c:lblAlgn val="ctr"/>
        <c:lblOffset val="100"/>
        <c:noMultiLvlLbl val="0"/>
      </c:catAx>
      <c:valAx>
        <c:axId val="545069696"/>
        <c:scaling>
          <c:orientation val="minMax"/>
        </c:scaling>
        <c:delete val="0"/>
        <c:axPos val="l"/>
        <c:numFmt formatCode="0.0000" sourceLinked="1"/>
        <c:majorTickMark val="none"/>
        <c:minorTickMark val="none"/>
        <c:tickLblPos val="nextTo"/>
        <c:crossAx val="5450693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0.00538</cdr:x>
      <cdr:y>0.0727</cdr:y>
    </cdr:from>
    <cdr:to>
      <cdr:x>0.08696</cdr:x>
      <cdr:y>0.14392</cdr:y>
    </cdr:to>
    <cdr:sp macro="" textlink="">
      <cdr:nvSpPr>
        <cdr:cNvPr id="3" name="2 CuadroTexto"/>
        <cdr:cNvSpPr txBox="1"/>
      </cdr:nvSpPr>
      <cdr:spPr>
        <a:xfrm xmlns:a="http://schemas.openxmlformats.org/drawingml/2006/main">
          <a:off x="31713" y="258990"/>
          <a:ext cx="480985" cy="2537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ES" sz="1100" b="1">
              <a:latin typeface="+mn-lt"/>
              <a:ea typeface="+mn-ea"/>
              <a:cs typeface="+mn-cs"/>
            </a:rPr>
            <a:t>m</a:t>
          </a:r>
          <a:r>
            <a:rPr lang="es-ES" sz="1100" b="1" baseline="30000">
              <a:latin typeface="+mn-lt"/>
              <a:ea typeface="+mn-ea"/>
              <a:cs typeface="+mn-cs"/>
            </a:rPr>
            <a:t>3</a:t>
          </a:r>
          <a:r>
            <a:rPr lang="es-ES" sz="1100">
              <a:latin typeface="+mn-lt"/>
              <a:ea typeface="+mn-ea"/>
              <a:cs typeface="+mn-cs"/>
            </a:rPr>
            <a:t>/s </a:t>
          </a:r>
          <a:endParaRPr lang="en-US" sz="1100" b="1"/>
        </a:p>
      </cdr:txBody>
    </cdr:sp>
  </cdr:relSizeAnchor>
  <cdr:relSizeAnchor xmlns:cdr="http://schemas.openxmlformats.org/drawingml/2006/chartDrawing">
    <cdr:from>
      <cdr:x>0.35917</cdr:x>
      <cdr:y>0.03054</cdr:y>
    </cdr:from>
    <cdr:to>
      <cdr:x>0.63481</cdr:x>
      <cdr:y>0.12638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134781" y="100440"/>
          <a:ext cx="1638294" cy="315247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Mendez Tejeda</dc:creator>
  <cp:lastModifiedBy>Rafael Mendez Tejeda</cp:lastModifiedBy>
  <cp:revision>2</cp:revision>
  <dcterms:created xsi:type="dcterms:W3CDTF">2016-06-02T15:24:00Z</dcterms:created>
  <dcterms:modified xsi:type="dcterms:W3CDTF">2016-06-02T15:24:00Z</dcterms:modified>
</cp:coreProperties>
</file>