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073" w:rsidRDefault="000C20A5">
      <w:bookmarkStart w:id="0" w:name="_GoBack"/>
      <w:bookmarkEnd w:id="0"/>
      <w:r w:rsidRPr="00303E6B">
        <w:rPr>
          <w:noProof/>
        </w:rPr>
        <w:drawing>
          <wp:inline distT="0" distB="0" distL="0" distR="0" wp14:anchorId="09DEC2A0" wp14:editId="41DD3AEF">
            <wp:extent cx="5715000" cy="2752725"/>
            <wp:effectExtent l="0" t="0" r="0" b="9525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C20A5" w:rsidRPr="002609A1" w:rsidRDefault="000C20A5" w:rsidP="000C20A5">
      <w:pPr>
        <w:spacing w:after="0" w:line="360" w:lineRule="auto"/>
        <w:rPr>
          <w:rFonts w:ascii="Times New Roman" w:eastAsia="Times New Roman" w:hAnsi="Times New Roman" w:cs="Times New Roman"/>
          <w:w w:val="0"/>
          <w:sz w:val="20"/>
          <w:szCs w:val="20"/>
          <w:lang w:bidi="en-US"/>
        </w:rPr>
      </w:pPr>
      <w:r w:rsidRPr="002609A1">
        <w:rPr>
          <w:rFonts w:ascii="Times New Roman" w:eastAsia="Times New Roman" w:hAnsi="Times New Roman" w:cs="Times New Roman"/>
          <w:i/>
          <w:w w:val="0"/>
          <w:sz w:val="20"/>
          <w:szCs w:val="20"/>
          <w:lang w:bidi="en-US"/>
        </w:rPr>
        <w:t xml:space="preserve">Figure 6. </w:t>
      </w:r>
      <w:r w:rsidRPr="002609A1">
        <w:rPr>
          <w:rFonts w:ascii="Times New Roman" w:eastAsia="Times New Roman" w:hAnsi="Times New Roman" w:cs="Times New Roman"/>
          <w:w w:val="0"/>
          <w:sz w:val="20"/>
          <w:szCs w:val="20"/>
          <w:lang w:bidi="en-US"/>
        </w:rPr>
        <w:t>Physicochemical parameters of Lake Enriquillo between 2002 and 2011.  Data provided by the Center for Research in Marine Biology (Spanish acronym CIBIMA).</w:t>
      </w:r>
    </w:p>
    <w:p w:rsidR="000C20A5" w:rsidRDefault="000C20A5"/>
    <w:sectPr w:rsidR="000C2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A5"/>
    <w:rsid w:val="000C20A5"/>
    <w:rsid w:val="00BB2073"/>
    <w:rsid w:val="00E0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67D3F-0554-4A24-9234-CE2E0C19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Physical - Chemical Properties Lake Enriquillo 2012 </a:t>
            </a:r>
            <a:endParaRPr lang="en-US" sz="1200" b="1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1791300009771802"/>
          <c:y val="3.24412003244120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T(°)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rgbClr val="0070C0"/>
              </a:solidFill>
            </a:ln>
            <a:effectLst/>
            <a:sp3d>
              <a:contourClr>
                <a:srgbClr val="0070C0"/>
              </a:contourClr>
            </a:sp3d>
          </c:spPr>
          <c:invertIfNegative val="0"/>
          <c:cat>
            <c:strRef>
              <c:f>Sheet1!$B$1:$E$1</c:f>
              <c:strCache>
                <c:ptCount val="4"/>
                <c:pt idx="0">
                  <c:v>Station1</c:v>
                </c:pt>
                <c:pt idx="1">
                  <c:v>Station2</c:v>
                </c:pt>
                <c:pt idx="2">
                  <c:v>Station3</c:v>
                </c:pt>
                <c:pt idx="3">
                  <c:v>Station4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31.47</c:v>
                </c:pt>
                <c:pt idx="1">
                  <c:v>31.45</c:v>
                </c:pt>
                <c:pt idx="2">
                  <c:v>31.72</c:v>
                </c:pt>
                <c:pt idx="3">
                  <c:v>32.1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190-430E-8335-1AA2DD4ADF17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Salinity (‰)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  <a:effectLst/>
            <a:sp3d>
              <a:contourClr>
                <a:srgbClr val="FF0000"/>
              </a:contourClr>
            </a:sp3d>
          </c:spPr>
          <c:invertIfNegative val="0"/>
          <c:cat>
            <c:strRef>
              <c:f>Sheet1!$B$1:$E$1</c:f>
              <c:strCache>
                <c:ptCount val="4"/>
                <c:pt idx="0">
                  <c:v>Station1</c:v>
                </c:pt>
                <c:pt idx="1">
                  <c:v>Station2</c:v>
                </c:pt>
                <c:pt idx="2">
                  <c:v>Station3</c:v>
                </c:pt>
                <c:pt idx="3">
                  <c:v>Station4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28.7</c:v>
                </c:pt>
                <c:pt idx="1">
                  <c:v>28.27</c:v>
                </c:pt>
                <c:pt idx="2">
                  <c:v>29</c:v>
                </c:pt>
                <c:pt idx="3">
                  <c:v>22.2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190-430E-8335-1AA2DD4ADF17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Oxygen (mg/l)</c:v>
                </c:pt>
              </c:strCache>
            </c:strRef>
          </c:tx>
          <c:spPr>
            <a:solidFill>
              <a:srgbClr val="FFC000"/>
            </a:solidFill>
            <a:ln>
              <a:solidFill>
                <a:srgbClr val="FFC000"/>
              </a:solidFill>
            </a:ln>
            <a:effectLst/>
            <a:sp3d>
              <a:contourClr>
                <a:srgbClr val="FFC000"/>
              </a:contourClr>
            </a:sp3d>
          </c:spPr>
          <c:invertIfNegative val="0"/>
          <c:cat>
            <c:strRef>
              <c:f>Sheet1!$B$1:$E$1</c:f>
              <c:strCache>
                <c:ptCount val="4"/>
                <c:pt idx="0">
                  <c:v>Station1</c:v>
                </c:pt>
                <c:pt idx="1">
                  <c:v>Station2</c:v>
                </c:pt>
                <c:pt idx="2">
                  <c:v>Station3</c:v>
                </c:pt>
                <c:pt idx="3">
                  <c:v>Station4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6.28</c:v>
                </c:pt>
                <c:pt idx="1">
                  <c:v>6.56</c:v>
                </c:pt>
                <c:pt idx="2">
                  <c:v>12.1</c:v>
                </c:pt>
                <c:pt idx="3">
                  <c:v>8.9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190-430E-8335-1AA2DD4ADF17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pH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  <a:sp3d>
              <a:contourClr>
                <a:schemeClr val="tx1"/>
              </a:contourClr>
            </a:sp3d>
          </c:spPr>
          <c:invertIfNegative val="0"/>
          <c:cat>
            <c:strRef>
              <c:f>Sheet1!$B$1:$E$1</c:f>
              <c:strCache>
                <c:ptCount val="4"/>
                <c:pt idx="0">
                  <c:v>Station1</c:v>
                </c:pt>
                <c:pt idx="1">
                  <c:v>Station2</c:v>
                </c:pt>
                <c:pt idx="2">
                  <c:v>Station3</c:v>
                </c:pt>
                <c:pt idx="3">
                  <c:v>Station4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8.11</c:v>
                </c:pt>
                <c:pt idx="1">
                  <c:v>8.17</c:v>
                </c:pt>
                <c:pt idx="2">
                  <c:v>8.3000000000000007</c:v>
                </c:pt>
                <c:pt idx="3">
                  <c:v>8.0299999999999994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190-430E-8335-1AA2DD4ADF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38251208"/>
        <c:axId val="538251600"/>
        <c:axId val="0"/>
      </c:bar3DChart>
      <c:catAx>
        <c:axId val="538251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8251600"/>
        <c:crosses val="autoZero"/>
        <c:auto val="1"/>
        <c:lblAlgn val="ctr"/>
        <c:lblOffset val="100"/>
        <c:noMultiLvlLbl val="0"/>
      </c:catAx>
      <c:valAx>
        <c:axId val="538251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825120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Mendez Tejeda</dc:creator>
  <cp:lastModifiedBy>Rafael Mendez Tejeda</cp:lastModifiedBy>
  <cp:revision>2</cp:revision>
  <dcterms:created xsi:type="dcterms:W3CDTF">2016-06-02T15:23:00Z</dcterms:created>
  <dcterms:modified xsi:type="dcterms:W3CDTF">2016-06-02T15:23:00Z</dcterms:modified>
</cp:coreProperties>
</file>